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E45137"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E45137"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E45137"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E45137"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E45137"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528CFBBD" w:rsidR="00B86791" w:rsidRPr="00DB71EE" w:rsidRDefault="00E45137" w:rsidP="006A16F0">
            <w:pPr>
              <w:jc w:val="both"/>
              <w:rPr>
                <w:rFonts w:ascii="Verdana" w:hAnsi="Verdana"/>
                <w:snapToGrid w:val="0"/>
                <w:sz w:val="28"/>
                <w:szCs w:val="22"/>
              </w:rPr>
            </w:pPr>
            <w:r>
              <w:rPr>
                <w:rFonts w:ascii="Verdana" w:hAnsi="Verdana"/>
                <w:snapToGrid w:val="0"/>
                <w:sz w:val="28"/>
                <w:szCs w:val="22"/>
              </w:rPr>
              <w:t>Keyworker – Key to Potential</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207C1"/>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45137"/>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207C1"/>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943</Words>
  <Characters>5312</Characters>
  <Application>Microsoft Office Word</Application>
  <DocSecurity>0</DocSecurity>
  <Lines>166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